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Pr>
          <w:lang w:val="it-IT"/>
        </w:rPr>
        <w:t xml:space="preserve">Kleemann │ Roccia dopo roccia </w:t>
      </w:r>
    </w:p>
    <w:p w14:paraId="34A89D42" w14:textId="7E0E1F68" w:rsidR="007C2FEE" w:rsidRPr="00DC74BD" w:rsidRDefault="00F975C6" w:rsidP="007C2FEE">
      <w:pPr>
        <w:pStyle w:val="Subhead"/>
      </w:pPr>
      <w:r>
        <w:rPr>
          <w:bCs/>
          <w:iCs w:val="0"/>
          <w:lang w:val="it-IT"/>
        </w:rPr>
        <w:t xml:space="preserve">Rinascita di una comunità indigena in Canada con il supporto della moderna tecnica Kleemann </w:t>
      </w:r>
    </w:p>
    <w:p w14:paraId="074FF9E2" w14:textId="588A0A69" w:rsidR="007C2FEE" w:rsidRPr="00DC74BD" w:rsidRDefault="00BA64A4" w:rsidP="00025E1A">
      <w:pPr>
        <w:tabs>
          <w:tab w:val="left" w:pos="2127"/>
        </w:tabs>
        <w:spacing w:after="220"/>
        <w:jc w:val="both"/>
        <w:rPr>
          <w:b/>
          <w:sz w:val="22"/>
          <w:szCs w:val="22"/>
        </w:rPr>
      </w:pPr>
      <w:r>
        <w:rPr>
          <w:b/>
          <w:bCs/>
          <w:sz w:val="22"/>
          <w:szCs w:val="22"/>
          <w:lang w:val="it-IT"/>
        </w:rPr>
        <w:t>Nell’ambito di un progetto attuale, la comunità indigena Garden River First Nation fornisce aggregati per il tratto lungo 16 chilometri della Highway 17A, che attraversa la riserva e funge anche da variante della Trans-Canada Highway, che si estende su tutto il Paese. Per soddisfare i requisiti in termini di tonnellaggio e qualità granulometrica si è investito in un parco macchine Kleemann, comprendente il frantoio a mascelle MOBICAT MC 110 EVO2, due frantoi a cono del tipo</w:t>
      </w:r>
      <w:r>
        <w:rPr>
          <w:b/>
          <w:bCs/>
          <w:sz w:val="22"/>
          <w:szCs w:val="24"/>
          <w:lang w:val="it-IT"/>
        </w:rPr>
        <w:t xml:space="preserve"> MOBICONE MCO 90 EVO2</w:t>
      </w:r>
      <w:r>
        <w:rPr>
          <w:b/>
          <w:bCs/>
          <w:sz w:val="22"/>
          <w:szCs w:val="22"/>
          <w:lang w:val="it-IT"/>
        </w:rPr>
        <w:t xml:space="preserve">, due impianti di vagliatura </w:t>
      </w:r>
      <w:r>
        <w:rPr>
          <w:b/>
          <w:bCs/>
          <w:sz w:val="22"/>
          <w:szCs w:val="24"/>
          <w:lang w:val="it-IT"/>
        </w:rPr>
        <w:t xml:space="preserve">MOBISCREEN MSC 953 EVO </w:t>
      </w:r>
      <w:r>
        <w:rPr>
          <w:b/>
          <w:bCs/>
          <w:sz w:val="22"/>
          <w:szCs w:val="22"/>
          <w:lang w:val="it-IT"/>
        </w:rPr>
        <w:t xml:space="preserve">e il nastro per accumulo MOBIBELT. A seconda dei requisiti del prodotto finale, le macchine lavorano in combinazione come impianti di frantumazione e vagliatura primari, secondari e terziari. </w:t>
      </w:r>
    </w:p>
    <w:p w14:paraId="22320BAD" w14:textId="180C6211" w:rsidR="007C2FEE" w:rsidRPr="00DC74BD" w:rsidRDefault="00D74FAC" w:rsidP="00BC1961">
      <w:pPr>
        <w:pStyle w:val="Absatzberschrift"/>
      </w:pPr>
      <w:r>
        <w:rPr>
          <w:bCs/>
          <w:lang w:val="it-IT"/>
        </w:rPr>
        <w:t>La lavorazione del materiale crea posti di lavoro</w:t>
      </w:r>
    </w:p>
    <w:p w14:paraId="74F6A4A4" w14:textId="5E0A2C00" w:rsidR="007C2FEE" w:rsidRPr="00DC74BD" w:rsidRDefault="00BA64A4" w:rsidP="007C2FEE">
      <w:pPr>
        <w:pStyle w:val="Standardabsatz"/>
      </w:pPr>
      <w:r>
        <w:rPr>
          <w:lang w:val="it-IT"/>
        </w:rPr>
        <w:t xml:space="preserve">Le comunità indigene in Canada sono fondamentali per la coesione del Paese, in quanto preservano la cultura indigena, la lingua e i legami familiari. In alcune comunità, la popolazione è in brusco calo, in quanto molti abitanti si trasferiscono nei centri più grandi, che offrono maggiori possibilità di formazione, posti di lavoro e abitazioni. L’area della riserva Garden River 14, situata a circa 700 chilometri a nord-ovest di Toronto, è nota con il nome di Garden River First Nation e conta 3.500 abitanti. Poco più di 1.000 persone vivono direttamente nella riserva, di cui 200 sono occupate nella comunità stessa, mentre 13 sono attualmente impiegate nella lavorazione dei materiali. Il materiale lavorato è molto importante per la costruzione dell’infrastruttura, mentre le macchine Kleemann acquistate di recente contribuiscono all’aumento del fatturato e alla creazione di più posti di lavoro. </w:t>
      </w:r>
    </w:p>
    <w:p w14:paraId="35171BA5" w14:textId="70A1EBC9" w:rsidR="007C2FEE" w:rsidRPr="00DC74BD" w:rsidRDefault="00BA64A4" w:rsidP="00BC1961">
      <w:pPr>
        <w:pStyle w:val="Teaserhead"/>
        <w:jc w:val="left"/>
      </w:pPr>
      <w:r>
        <w:rPr>
          <w:bCs/>
          <w:lang w:val="it-IT"/>
        </w:rPr>
        <w:t>Investimento nel futuro</w:t>
      </w:r>
    </w:p>
    <w:p w14:paraId="787C7CCD" w14:textId="2E37B90B" w:rsidR="00BA64A4" w:rsidRPr="00DC74BD" w:rsidRDefault="00BA64A4" w:rsidP="007C2FEE">
      <w:pPr>
        <w:pStyle w:val="Standardabsatz"/>
      </w:pPr>
      <w:r>
        <w:rPr>
          <w:lang w:val="it-IT"/>
        </w:rPr>
        <w:t>Il rinnovamento del manto stradale è in corso dalla fine del 2025 e durerà fino al 2028. Saranno necessarie circa 100.000 tonnellate di materiale per lo strato portante, 170.000 tonnellate di materiale per il sottofondo e 100.000 tonnellate di polvere di asfalto e Superpave. Il moderno sistema, basato sulle prestazioni, per la produzione di conglomerati bituminosi e per la selezione dei leganti per il manto stradale è stato sviluppato per garantire che il manto sia in grado di sopportare senza problemi estreme oscillazioni di temperatura e il forte traffico. “Quando abbiamo scoperto che il tratto di bypass sarebbe stato risanato e che avremmo collaborato al progetto come partner, abbiamo capito che il nostro vecchio frantoio era obsoleto e che non sarebbe stato in grado di realizzare alcuni prodotti, come ad esempio Superpave”, ricorda Chris Morettin, Business Entities Manager della Garden River First Nation. “Abbiamo dovuto sostituire questo modello con un nuovo sistema che fosse in grado di soddisfare i requisiti del Ministero dei trasporti dell’Ontario”. Morettin e Travis Belleau, responsabile della lavorazione dei materiali, hanno optato per il treno di macchine Kleemann. “Abbiamo effettuato un’analisi finanziaria sulla base dei fatturati attesi. In questo contesto è emerso che l’acquisto di questo equipaggiamento sarebbe stato ammortizzato nel corso della durata del progetto”, spiega Morettin.</w:t>
      </w:r>
    </w:p>
    <w:p w14:paraId="6A0314C1" w14:textId="14ACAC26"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it-IT"/>
        </w:rPr>
        <w:t xml:space="preserve">“Nel nord dell’Ontario c’è molta roccia dura. Più dura è la roccia, maggiori sono i danni subiti da un frantoio ad urto. Per questo, in questa regione geografica vengono spesso </w:t>
      </w:r>
      <w:r>
        <w:rPr>
          <w:rFonts w:eastAsiaTheme="minorHAnsi" w:cstheme="minorBidi"/>
          <w:sz w:val="22"/>
          <w:szCs w:val="24"/>
          <w:lang w:val="it-IT"/>
        </w:rPr>
        <w:lastRenderedPageBreak/>
        <w:t>impiegati i frantoi a cono e a mascelle, che sono semplicemente più efficienti in termini di costi”, spiega Richard Perzan, Vice President Sales, Construction and Forestry (Central) di Brandt, la concessionaria locale del Wirtgen Group in Canada.</w:t>
      </w:r>
    </w:p>
    <w:p w14:paraId="33B1C865" w14:textId="3F54EA0C" w:rsidR="00BA64A4" w:rsidRPr="00DC74BD" w:rsidRDefault="00BA64A4" w:rsidP="00BA64A4">
      <w:pPr>
        <w:jc w:val="both"/>
        <w:rPr>
          <w:rFonts w:eastAsiaTheme="minorHAnsi" w:cstheme="minorBidi"/>
          <w:b/>
          <w:bCs/>
          <w:sz w:val="22"/>
          <w:szCs w:val="24"/>
        </w:rPr>
      </w:pPr>
      <w:r>
        <w:rPr>
          <w:rFonts w:eastAsiaTheme="minorHAnsi" w:cstheme="minorBidi"/>
          <w:b/>
          <w:bCs/>
          <w:sz w:val="22"/>
          <w:szCs w:val="24"/>
          <w:lang w:val="it-IT"/>
        </w:rPr>
        <w:t>Intuitivo, sicuro e versatile</w:t>
      </w:r>
    </w:p>
    <w:p w14:paraId="49DEFC3D" w14:textId="3EE7AE4E" w:rsidR="00BA64A4" w:rsidRPr="00DC74BD" w:rsidRDefault="00BA64A4" w:rsidP="000C6FA6">
      <w:pPr>
        <w:spacing w:after="220"/>
        <w:jc w:val="both"/>
        <w:rPr>
          <w:rFonts w:eastAsiaTheme="minorHAnsi" w:cstheme="minorBidi"/>
          <w:sz w:val="22"/>
          <w:szCs w:val="24"/>
        </w:rPr>
      </w:pPr>
      <w:r>
        <w:rPr>
          <w:rFonts w:eastAsiaTheme="minorHAnsi" w:cstheme="minorBidi"/>
          <w:sz w:val="22"/>
          <w:szCs w:val="24"/>
          <w:lang w:val="it-IT"/>
        </w:rPr>
        <w:t xml:space="preserve">Oltre che del consumo di carburante, Belleau è entusiasta anche del comando intuitivo. “Non ho una grande esperienza nel campo della lavorazione dei materiali. Eppure, l’utilizzo della macchina è stato per me molto semplice. Penso che questo fatto parli già da sé”, aggiunge. “La cosa che più mi piace dello schermo tattile è la presenza di molte informazioni visibili”. Inoltre, Belleau apprezza il fatto che lo schermo tattile nel sistema di comando SPECTIVE sia utile alla risoluzione dei problemi. “La nostra vecchia macchina non aveva uno schermo tattile. Pertanto, era necessario procedere per tentativi. I nuovi impianti di frantumazione sono in grado di indicare esattamente dove si trova il problema. Non si deve andare a tentoni per risolvere i problemi. In questo modo è possibile diagnosticare rapidamente gli errori, sostituire le parti guaste e rimettere in funzione la macchina in brevissimo tempo. Tutto questo rappresenta un enorme vantaggio”, spiega. Il comando semplice e chiaro supporta gli operatori, tanto quanto le funzioni di sicurezza. In presenza di problemi, l’impianto si spegne e genera autonomamente un allarme: “L’operatore deve quindi solo recarsi alla macchina e diagnosticare il codice. Il fattore di sicurezza integrato nelle macchine ci ha aiutati in modo decisivo a conoscere le macchine e a comprenderle, in modo da poterle usare più a lungo”, afferma Belleau. Un ulteriore vantaggio è costituito dal collegamento delle linee intelligente, che a sua volta protegge le macchine. I sensori rilevano quando il frantoio a cono è troppo pieno e il collegamento delle linee riduce quindi la velocità dell’alimentatore del frantoio a mascelle. </w:t>
      </w:r>
    </w:p>
    <w:p w14:paraId="23E5C7D8" w14:textId="0911F0D4" w:rsidR="00BA64A4" w:rsidRPr="00DC74BD" w:rsidRDefault="00A83486" w:rsidP="00BA64A4">
      <w:pPr>
        <w:jc w:val="both"/>
        <w:rPr>
          <w:rFonts w:eastAsiaTheme="minorHAnsi" w:cstheme="minorBidi"/>
          <w:b/>
          <w:bCs/>
          <w:sz w:val="22"/>
          <w:szCs w:val="24"/>
        </w:rPr>
      </w:pPr>
      <w:r>
        <w:rPr>
          <w:rFonts w:eastAsiaTheme="minorHAnsi" w:cstheme="minorBidi"/>
          <w:b/>
          <w:bCs/>
          <w:sz w:val="22"/>
          <w:szCs w:val="24"/>
          <w:lang w:val="it-IT"/>
        </w:rPr>
        <w:t>Entrate destinate al reinvestimento</w:t>
      </w:r>
    </w:p>
    <w:p w14:paraId="41307140" w14:textId="5D8D7773"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it-IT"/>
        </w:rPr>
        <w:t xml:space="preserve">L’obiettivo della Garden River First Nation è promuovere la rinascita della comunità mediante il reinvestimento delle entrate. Il gruppo negli scorsi anni ha costruito 20 nuove case, mettendo a disposizione direttamente gli aggregati necessari. Con l’apertura di diverse sottosezioni, la crescita economica prosegue. “In questo modo creiamo più posti di lavoro per la comunità e diamo a più persone la possibilità di ritornare”, spiega Belleau. Il risanamento della Highway 17A non crea nuovi posti di lavoro solo nel settore della lavorazione dei materiali, ma anche nella costruzione stradale – per la quale sono necessari operatori macchina, operai, geometri e altri profili professionali.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Pr>
          <w:b/>
          <w:bCs/>
          <w:sz w:val="22"/>
          <w:szCs w:val="22"/>
          <w:lang w:val="it-IT"/>
        </w:rPr>
        <w:br w:type="page"/>
      </w:r>
    </w:p>
    <w:p w14:paraId="64ABBB85" w14:textId="1394DA52" w:rsidR="007C2FEE" w:rsidRPr="00DC74BD" w:rsidRDefault="007C2FEE" w:rsidP="00BC487A">
      <w:pPr>
        <w:rPr>
          <w:b/>
          <w:bCs/>
          <w:sz w:val="22"/>
          <w:szCs w:val="22"/>
        </w:rPr>
      </w:pPr>
      <w:r>
        <w:rPr>
          <w:b/>
          <w:bCs/>
          <w:sz w:val="22"/>
          <w:szCs w:val="22"/>
          <w:lang w:val="it-IT"/>
        </w:rPr>
        <w:lastRenderedPageBreak/>
        <w:t>Foto:</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b/>
                <w:bCs/>
                <w:sz w:val="22"/>
                <w:szCs w:val="24"/>
                <w:lang w:val="it-IT"/>
              </w:rPr>
              <w:t xml:space="preserve"> </w:t>
            </w:r>
            <w:r>
              <w:rPr>
                <w:noProof/>
                <w:lang w:val="it-IT"/>
              </w:rPr>
              <w:drawing>
                <wp:inline distT="0" distB="0" distL="0" distR="0" wp14:anchorId="73B3B985" wp14:editId="3883A829">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it-IT"/>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Pr>
                <w:sz w:val="22"/>
                <w:szCs w:val="24"/>
                <w:lang w:val="it-IT"/>
              </w:rPr>
              <w:br/>
            </w:r>
            <w:r>
              <w:rPr>
                <w:b/>
                <w:bCs/>
                <w:noProof/>
                <w:sz w:val="20"/>
                <w:szCs w:val="20"/>
                <w:lang w:val="it-IT"/>
              </w:rPr>
              <w:t>K_pic_EVO_Plant-Train_Ontario_0006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lang w:val="it-IT"/>
              </w:rPr>
              <w:t xml:space="preserve"> K_pic_EVO_Plant-Train_Ontario_0001</w:t>
            </w:r>
          </w:p>
        </w:tc>
        <w:tc>
          <w:tcPr>
            <w:tcW w:w="4956" w:type="dxa"/>
          </w:tcPr>
          <w:p w14:paraId="2E8BBAA3" w14:textId="4C36C475" w:rsidR="00850DDA" w:rsidRPr="00850DDA" w:rsidRDefault="00850DDA" w:rsidP="00BC487A">
            <w:pPr>
              <w:rPr>
                <w:b/>
                <w:bCs/>
                <w:noProof/>
                <w:sz w:val="20"/>
                <w:szCs w:val="20"/>
              </w:rPr>
            </w:pPr>
          </w:p>
        </w:tc>
      </w:tr>
    </w:tbl>
    <w:p w14:paraId="5BFBF390" w14:textId="127F3485" w:rsidR="007C2FEE" w:rsidRPr="00DC74BD" w:rsidRDefault="006A0EB7" w:rsidP="00BA7BC5">
      <w:pPr>
        <w:pStyle w:val="BUbold"/>
        <w:rPr>
          <w:b w:val="0"/>
          <w:color w:val="000000"/>
          <w:szCs w:val="20"/>
        </w:rPr>
      </w:pPr>
      <w:r>
        <w:rPr>
          <w:b w:val="0"/>
          <w:color w:val="000000"/>
          <w:szCs w:val="20"/>
          <w:lang w:val="it-IT"/>
        </w:rPr>
        <w:t>Nell’ambito di un progetto attuale, la comunità indigena Garden River First Nation fornisce aggregati per il tratto lungo 16 chilometri della Highway 17A, grazie a moderni impianti Kleemann.</w:t>
      </w:r>
    </w:p>
    <w:p w14:paraId="10AF8B22" w14:textId="2DD70ADB" w:rsidR="000D357E" w:rsidRPr="00DC74BD" w:rsidRDefault="000D357E" w:rsidP="000D357E">
      <w:pPr>
        <w:pStyle w:val="BUnormal"/>
      </w:pPr>
    </w:p>
    <w:p w14:paraId="6BBBB646" w14:textId="124301C5" w:rsidR="007C2FEE" w:rsidRPr="00DC74BD" w:rsidRDefault="00025E1A" w:rsidP="007C2FEE">
      <w:pPr>
        <w:pStyle w:val="BUbold"/>
      </w:pPr>
      <w:r>
        <w:rPr>
          <w:b w:val="0"/>
          <w:noProof/>
          <w:lang w:val="it-IT"/>
        </w:rPr>
        <w:drawing>
          <wp:inline distT="0" distB="0" distL="0" distR="0" wp14:anchorId="1B501264" wp14:editId="69DE3FF2">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Pr>
          <w:b w:val="0"/>
          <w:lang w:val="it-IT"/>
        </w:rPr>
        <w:br/>
      </w:r>
      <w:r>
        <w:rPr>
          <w:bCs/>
          <w:lang w:val="it-IT"/>
        </w:rPr>
        <w:t>K_pic_EVO_Plant-Train_Ontario_0002</w:t>
      </w:r>
    </w:p>
    <w:p w14:paraId="43BC7053" w14:textId="15EA5615" w:rsidR="00980313" w:rsidRPr="00DC74BD" w:rsidRDefault="00025E1A" w:rsidP="007C2FEE">
      <w:pPr>
        <w:pStyle w:val="BUnormal"/>
      </w:pPr>
      <w:r>
        <w:rPr>
          <w:lang w:val="it-IT"/>
        </w:rPr>
        <w:t xml:space="preserve">Si mostra molto convinto del treno di macchine Kleemann: il team della Garden River First Nation, competente per la lavorazione dei materiali. </w:t>
      </w:r>
    </w:p>
    <w:p w14:paraId="67E83AFA" w14:textId="6DF33779" w:rsidR="00980313" w:rsidRPr="00DC74BD" w:rsidRDefault="00714D6B" w:rsidP="00A96B2E">
      <w:pPr>
        <w:pStyle w:val="Note"/>
      </w:pPr>
      <w:r>
        <w:rPr>
          <w:iCs/>
          <w:lang w:val="it-IT"/>
        </w:rPr>
        <w:t>Avvertenza: queste foto sono a puro scopo esemplificativo. Per la stampa nelle varie pubblicazioni si prega di utilizzare le foto da 300 dpi di risoluzione disponibili per il download.</w:t>
      </w:r>
    </w:p>
    <w:p w14:paraId="717825D0" w14:textId="4B1B0DAB" w:rsidR="00B409DF" w:rsidRPr="00DC74BD" w:rsidRDefault="00B409DF" w:rsidP="00B409DF">
      <w:pPr>
        <w:pStyle w:val="Absatzberschrift"/>
        <w:rPr>
          <w:iCs/>
        </w:rPr>
      </w:pPr>
      <w:r>
        <w:rPr>
          <w:bCs/>
          <w:lang w:val="it-IT"/>
        </w:rPr>
        <w:t>È possibile reperire ulteriori informazioni presso:</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Pr>
          <w:b w:val="0"/>
          <w:lang w:val="it-IT"/>
        </w:rPr>
        <w:t>WIRTGEN GROUP</w:t>
      </w:r>
    </w:p>
    <w:p w14:paraId="392C6846" w14:textId="77777777" w:rsidR="00B409DF" w:rsidRPr="00DC74BD" w:rsidRDefault="00B409DF" w:rsidP="00B409DF">
      <w:pPr>
        <w:pStyle w:val="Fuzeile1"/>
      </w:pPr>
      <w:r>
        <w:rPr>
          <w:bCs w:val="0"/>
          <w:iCs w:val="0"/>
          <w:lang w:val="it-IT"/>
        </w:rPr>
        <w:t>Public Relations</w:t>
      </w:r>
    </w:p>
    <w:p w14:paraId="77A90FFB" w14:textId="77777777" w:rsidR="00B409DF" w:rsidRPr="00DC74BD" w:rsidRDefault="00B409DF" w:rsidP="00B409DF">
      <w:pPr>
        <w:pStyle w:val="Fuzeile1"/>
      </w:pPr>
      <w:r>
        <w:rPr>
          <w:bCs w:val="0"/>
          <w:iCs w:val="0"/>
          <w:lang w:val="it-IT"/>
        </w:rPr>
        <w:t>Reinhard-Wirtgen-Straße 2</w:t>
      </w:r>
    </w:p>
    <w:p w14:paraId="2BD7061F" w14:textId="77777777" w:rsidR="00B409DF" w:rsidRPr="00DC74BD" w:rsidRDefault="00B409DF" w:rsidP="00B409DF">
      <w:pPr>
        <w:pStyle w:val="Fuzeile1"/>
      </w:pPr>
      <w:r>
        <w:rPr>
          <w:bCs w:val="0"/>
          <w:iCs w:val="0"/>
          <w:lang w:val="it-IT"/>
        </w:rPr>
        <w:t>53578 Windhagen</w:t>
      </w:r>
    </w:p>
    <w:p w14:paraId="7312A980" w14:textId="77777777" w:rsidR="00B409DF" w:rsidRPr="00DC74BD" w:rsidRDefault="00B409DF" w:rsidP="00B409DF">
      <w:pPr>
        <w:pStyle w:val="Fuzeile1"/>
      </w:pPr>
      <w:r>
        <w:rPr>
          <w:bCs w:val="0"/>
          <w:iCs w:val="0"/>
          <w:lang w:val="it-IT"/>
        </w:rPr>
        <w:t>Germania</w:t>
      </w:r>
    </w:p>
    <w:p w14:paraId="2DFD9654" w14:textId="77777777" w:rsidR="00B409DF" w:rsidRPr="00DC74BD" w:rsidRDefault="00B409DF" w:rsidP="00B409DF">
      <w:pPr>
        <w:pStyle w:val="Fuzeile1"/>
      </w:pPr>
    </w:p>
    <w:p w14:paraId="747CCDAF" w14:textId="78D0EB80" w:rsidR="00B409DF" w:rsidRPr="00DC74BD" w:rsidRDefault="00B409DF" w:rsidP="00B409DF">
      <w:pPr>
        <w:pStyle w:val="Fuzeile1"/>
        <w:rPr>
          <w:rFonts w:ascii="Times New Roman" w:hAnsi="Times New Roman" w:cs="Times New Roman"/>
        </w:rPr>
      </w:pPr>
      <w:r>
        <w:rPr>
          <w:bCs w:val="0"/>
          <w:iCs w:val="0"/>
          <w:lang w:val="it-IT"/>
        </w:rPr>
        <w:t>Telefono:</w:t>
      </w:r>
      <w:r>
        <w:rPr>
          <w:bCs w:val="0"/>
          <w:iCs w:val="0"/>
          <w:lang w:val="it-IT"/>
        </w:rPr>
        <w:tab/>
        <w:t>+49 (0) 2645 131 – 1966</w:t>
      </w:r>
    </w:p>
    <w:p w14:paraId="72EBA31D" w14:textId="369121F8" w:rsidR="00B409DF" w:rsidRPr="00DC74BD" w:rsidRDefault="00B409DF" w:rsidP="00B409DF">
      <w:pPr>
        <w:pStyle w:val="Fuzeile1"/>
      </w:pPr>
      <w:r>
        <w:rPr>
          <w:bCs w:val="0"/>
          <w:iCs w:val="0"/>
          <w:lang w:val="it-IT"/>
        </w:rPr>
        <w:t>Telefax:</w:t>
      </w:r>
      <w:r>
        <w:rPr>
          <w:bCs w:val="0"/>
          <w:iCs w:val="0"/>
          <w:lang w:val="it-IT"/>
        </w:rPr>
        <w:tab/>
        <w:t>+49 (0) 2645 131 – 499</w:t>
      </w:r>
    </w:p>
    <w:p w14:paraId="54DD8925" w14:textId="01E7877D" w:rsidR="00B409DF" w:rsidRPr="00DC74BD" w:rsidRDefault="00B409DF" w:rsidP="00B409DF">
      <w:pPr>
        <w:pStyle w:val="Fuzeile1"/>
      </w:pPr>
      <w:r>
        <w:rPr>
          <w:bCs w:val="0"/>
          <w:iCs w:val="0"/>
          <w:lang w:val="it-IT"/>
        </w:rPr>
        <w:t>E-mail:</w:t>
      </w:r>
      <w:r>
        <w:rPr>
          <w:bCs w:val="0"/>
          <w:iCs w:val="0"/>
          <w:lang w:val="it-IT"/>
        </w:rPr>
        <w:tab/>
      </w:r>
      <w:hyperlink r:id="rId11" w:history="1">
        <w:r>
          <w:rPr>
            <w:rStyle w:val="Hyperlink"/>
            <w:bCs w:val="0"/>
            <w:iCs w:val="0"/>
            <w:lang w:val="it-IT"/>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EE184C" w:rsidP="00B409DF">
      <w:pPr>
        <w:pStyle w:val="Fuzeile1"/>
      </w:pPr>
      <w:hyperlink r:id="rId12" w:history="1">
        <w:r w:rsidR="00792F0C">
          <w:rPr>
            <w:rStyle w:val="Hyperlink"/>
            <w:bCs w:val="0"/>
            <w:iCs w:val="0"/>
            <w:lang w:val="it-IT"/>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it-IT"/>
            </w:rPr>
            <w:t>WIRTGEN</w:t>
          </w:r>
          <w:r>
            <w:rPr>
              <w:rStyle w:val="Hervorhebung"/>
              <w:bCs/>
              <w:iCs w:val="0"/>
              <w:szCs w:val="20"/>
              <w:lang w:val="it-IT"/>
            </w:rPr>
            <w:t xml:space="preserve"> GmbH</w:t>
          </w:r>
          <w:r>
            <w:rPr>
              <w:szCs w:val="20"/>
              <w:lang w:val="it-IT"/>
            </w:rPr>
            <w:t xml:space="preserve"> · Reinhard-Wirtgen-Str. 2 · D-53578 Windhagen · T: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it-IT"/>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it-IT"/>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it-IT"/>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E184C"/>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975</Words>
  <Characters>6144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7105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